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4701C" w14:textId="4F118C37" w:rsidR="00850A18" w:rsidRDefault="000B39FC">
      <w:pPr>
        <w:jc w:val="center"/>
        <w:rPr>
          <w:rFonts w:ascii="Arial" w:eastAsia="Arial" w:hAnsi="Arial" w:cs="Arial"/>
          <w:b/>
          <w:sz w:val="20"/>
          <w:szCs w:val="20"/>
        </w:rPr>
      </w:pPr>
      <w:r w:rsidRPr="008133E4">
        <w:rPr>
          <w:rFonts w:ascii="Arial" w:hAnsi="Arial" w:cs="Arial"/>
          <w:b/>
          <w:sz w:val="20"/>
          <w:szCs w:val="20"/>
          <w:u w:val="single"/>
        </w:rPr>
        <w:t xml:space="preserve">Skills Workshop # </w:t>
      </w:r>
      <w:r>
        <w:rPr>
          <w:rFonts w:ascii="Arial" w:hAnsi="Arial" w:cs="Arial"/>
          <w:b/>
          <w:sz w:val="20"/>
          <w:szCs w:val="20"/>
          <w:u w:val="single"/>
        </w:rPr>
        <w:t>3</w:t>
      </w:r>
      <w:r w:rsidRPr="008133E4">
        <w:rPr>
          <w:rFonts w:ascii="Arial" w:hAnsi="Arial" w:cs="Arial"/>
          <w:b/>
          <w:sz w:val="20"/>
          <w:szCs w:val="20"/>
        </w:rPr>
        <w:t xml:space="preserve">: </w:t>
      </w:r>
      <w:r w:rsidR="00D76B6A">
        <w:rPr>
          <w:rFonts w:ascii="Arial" w:eastAsia="Arial" w:hAnsi="Arial" w:cs="Arial"/>
          <w:b/>
          <w:sz w:val="20"/>
          <w:szCs w:val="20"/>
        </w:rPr>
        <w:t>Ethics in Research Workshop</w:t>
      </w:r>
    </w:p>
    <w:p w14:paraId="143DA78F" w14:textId="77777777" w:rsidR="00850A18" w:rsidRDefault="00850A18">
      <w:pPr>
        <w:jc w:val="center"/>
        <w:rPr>
          <w:rFonts w:ascii="Arial" w:eastAsia="Arial" w:hAnsi="Arial" w:cs="Arial"/>
          <w:sz w:val="20"/>
          <w:szCs w:val="20"/>
          <w:u w:val="single"/>
        </w:rPr>
      </w:pPr>
    </w:p>
    <w:p w14:paraId="1C51D412" w14:textId="423426D4" w:rsidR="00850A18" w:rsidRDefault="00D76B6A">
      <w:pPr>
        <w:jc w:val="center"/>
        <w:rPr>
          <w:rFonts w:ascii="Arial" w:eastAsia="Arial" w:hAnsi="Arial" w:cs="Arial"/>
          <w:sz w:val="20"/>
          <w:szCs w:val="20"/>
        </w:rPr>
      </w:pPr>
      <w:r>
        <w:rPr>
          <w:rFonts w:ascii="Arial" w:eastAsia="Arial" w:hAnsi="Arial" w:cs="Arial"/>
          <w:sz w:val="20"/>
          <w:szCs w:val="20"/>
          <w:u w:val="single"/>
        </w:rPr>
        <w:t>Speaker</w:t>
      </w:r>
      <w:r>
        <w:rPr>
          <w:rFonts w:ascii="Arial" w:eastAsia="Arial" w:hAnsi="Arial" w:cs="Arial"/>
          <w:sz w:val="20"/>
          <w:szCs w:val="20"/>
        </w:rPr>
        <w:t>:  Dr. Anant R. Kukreti, Director for Engineering Outreach for the College of Engineering and Applied Science, Professor in the Department of Chemical and Environmental Engineering</w:t>
      </w:r>
    </w:p>
    <w:p w14:paraId="0A417615" w14:textId="77777777" w:rsidR="00850A18" w:rsidRDefault="00D76B6A">
      <w:pPr>
        <w:jc w:val="center"/>
        <w:rPr>
          <w:rFonts w:ascii="Arial" w:eastAsia="Arial" w:hAnsi="Arial" w:cs="Arial"/>
          <w:sz w:val="20"/>
          <w:szCs w:val="20"/>
        </w:rPr>
      </w:pPr>
      <w:r>
        <w:rPr>
          <w:rFonts w:ascii="Arial" w:eastAsia="Arial" w:hAnsi="Arial" w:cs="Arial"/>
          <w:sz w:val="20"/>
          <w:szCs w:val="20"/>
          <w:u w:val="single"/>
        </w:rPr>
        <w:t>Date</w:t>
      </w:r>
      <w:r>
        <w:rPr>
          <w:rFonts w:ascii="Arial" w:eastAsia="Arial" w:hAnsi="Arial" w:cs="Arial"/>
          <w:sz w:val="20"/>
          <w:szCs w:val="20"/>
        </w:rPr>
        <w:t>:  Tuesday, June 20, 2018</w:t>
      </w:r>
    </w:p>
    <w:p w14:paraId="0C5BB84F" w14:textId="56D91BD2" w:rsidR="00850A18" w:rsidRDefault="00D76B6A">
      <w:pPr>
        <w:jc w:val="center"/>
        <w:rPr>
          <w:rFonts w:ascii="Arial" w:eastAsia="Arial" w:hAnsi="Arial" w:cs="Arial"/>
          <w:sz w:val="20"/>
          <w:szCs w:val="20"/>
        </w:rPr>
      </w:pPr>
      <w:r>
        <w:rPr>
          <w:rFonts w:ascii="Arial" w:eastAsia="Arial" w:hAnsi="Arial" w:cs="Arial"/>
          <w:sz w:val="20"/>
          <w:szCs w:val="20"/>
          <w:u w:val="single"/>
        </w:rPr>
        <w:t>Time</w:t>
      </w:r>
      <w:r>
        <w:rPr>
          <w:rFonts w:ascii="Arial" w:eastAsia="Arial" w:hAnsi="Arial" w:cs="Arial"/>
          <w:sz w:val="20"/>
          <w:szCs w:val="20"/>
        </w:rPr>
        <w:t>:  9</w:t>
      </w:r>
      <w:r w:rsidR="00CE1D47">
        <w:rPr>
          <w:rFonts w:ascii="Arial" w:eastAsia="Arial" w:hAnsi="Arial" w:cs="Arial"/>
          <w:sz w:val="20"/>
          <w:szCs w:val="20"/>
        </w:rPr>
        <w:t>:00</w:t>
      </w:r>
      <w:r w:rsidR="00F61063">
        <w:rPr>
          <w:rFonts w:ascii="Arial" w:eastAsia="Arial" w:hAnsi="Arial" w:cs="Arial"/>
          <w:sz w:val="20"/>
          <w:szCs w:val="20"/>
        </w:rPr>
        <w:t xml:space="preserve"> </w:t>
      </w:r>
      <w:r>
        <w:rPr>
          <w:rFonts w:ascii="Arial" w:eastAsia="Arial" w:hAnsi="Arial" w:cs="Arial"/>
          <w:sz w:val="20"/>
          <w:szCs w:val="20"/>
        </w:rPr>
        <w:t>-</w:t>
      </w:r>
      <w:r w:rsidR="00F61063">
        <w:rPr>
          <w:rFonts w:ascii="Arial" w:eastAsia="Arial" w:hAnsi="Arial" w:cs="Arial"/>
          <w:sz w:val="20"/>
          <w:szCs w:val="20"/>
        </w:rPr>
        <w:t xml:space="preserve"> </w:t>
      </w:r>
      <w:r>
        <w:rPr>
          <w:rFonts w:ascii="Arial" w:eastAsia="Arial" w:hAnsi="Arial" w:cs="Arial"/>
          <w:sz w:val="20"/>
          <w:szCs w:val="20"/>
        </w:rPr>
        <w:t>10</w:t>
      </w:r>
      <w:r w:rsidR="00CE1D47">
        <w:rPr>
          <w:rFonts w:ascii="Arial" w:eastAsia="Arial" w:hAnsi="Arial" w:cs="Arial"/>
          <w:sz w:val="20"/>
          <w:szCs w:val="20"/>
        </w:rPr>
        <w:t>:00</w:t>
      </w:r>
      <w:r>
        <w:rPr>
          <w:rFonts w:ascii="Arial" w:eastAsia="Arial" w:hAnsi="Arial" w:cs="Arial"/>
          <w:sz w:val="20"/>
          <w:szCs w:val="20"/>
        </w:rPr>
        <w:t xml:space="preserve"> </w:t>
      </w:r>
      <w:r w:rsidR="00F61063">
        <w:rPr>
          <w:rFonts w:ascii="Arial" w:eastAsia="Arial" w:hAnsi="Arial" w:cs="Arial"/>
          <w:sz w:val="20"/>
          <w:szCs w:val="20"/>
        </w:rPr>
        <w:t>am</w:t>
      </w:r>
    </w:p>
    <w:p w14:paraId="35BA566A" w14:textId="67A2AA90" w:rsidR="00850A18" w:rsidRDefault="00D76B6A">
      <w:pPr>
        <w:jc w:val="center"/>
        <w:rPr>
          <w:rFonts w:ascii="Arial" w:eastAsia="Arial" w:hAnsi="Arial" w:cs="Arial"/>
          <w:sz w:val="20"/>
          <w:szCs w:val="20"/>
        </w:rPr>
      </w:pPr>
      <w:r>
        <w:rPr>
          <w:rFonts w:ascii="Arial" w:eastAsia="Arial" w:hAnsi="Arial" w:cs="Arial"/>
          <w:sz w:val="20"/>
          <w:szCs w:val="20"/>
          <w:u w:val="single"/>
        </w:rPr>
        <w:t>Venue</w:t>
      </w:r>
      <w:r>
        <w:rPr>
          <w:rFonts w:ascii="Arial" w:eastAsia="Arial" w:hAnsi="Arial" w:cs="Arial"/>
          <w:sz w:val="20"/>
          <w:szCs w:val="20"/>
        </w:rPr>
        <w:t>:  University of Cincinnati, Swift</w:t>
      </w:r>
      <w:r w:rsidR="00F61063">
        <w:rPr>
          <w:rFonts w:ascii="Arial" w:eastAsia="Arial" w:hAnsi="Arial" w:cs="Arial"/>
          <w:sz w:val="20"/>
          <w:szCs w:val="20"/>
        </w:rPr>
        <w:t xml:space="preserve"> Hall, R</w:t>
      </w:r>
      <w:r>
        <w:rPr>
          <w:rFonts w:ascii="Arial" w:eastAsia="Arial" w:hAnsi="Arial" w:cs="Arial"/>
          <w:sz w:val="20"/>
          <w:szCs w:val="20"/>
        </w:rPr>
        <w:t>oom 608</w:t>
      </w:r>
    </w:p>
    <w:p w14:paraId="4891DE53" w14:textId="77777777" w:rsidR="00850A18" w:rsidRDefault="00850A18">
      <w:pPr>
        <w:jc w:val="center"/>
        <w:rPr>
          <w:rFonts w:ascii="Arial" w:eastAsia="Arial" w:hAnsi="Arial" w:cs="Arial"/>
          <w:sz w:val="20"/>
          <w:szCs w:val="20"/>
        </w:rPr>
      </w:pPr>
    </w:p>
    <w:p w14:paraId="1F0AEA60" w14:textId="77777777" w:rsidR="00850A18" w:rsidRDefault="00D76B6A">
      <w:pPr>
        <w:jc w:val="center"/>
        <w:rPr>
          <w:rFonts w:ascii="Arial" w:eastAsia="Arial" w:hAnsi="Arial" w:cs="Arial"/>
          <w:sz w:val="20"/>
          <w:szCs w:val="20"/>
          <w:u w:val="single"/>
        </w:rPr>
      </w:pPr>
      <w:r>
        <w:rPr>
          <w:rFonts w:ascii="Arial" w:eastAsia="Arial" w:hAnsi="Arial" w:cs="Arial"/>
          <w:sz w:val="20"/>
          <w:szCs w:val="20"/>
          <w:u w:val="single"/>
        </w:rPr>
        <w:t>Prepared by</w:t>
      </w:r>
      <w:r>
        <w:rPr>
          <w:rFonts w:ascii="Arial" w:eastAsia="Arial" w:hAnsi="Arial" w:cs="Arial"/>
          <w:sz w:val="20"/>
          <w:szCs w:val="20"/>
        </w:rPr>
        <w:t>:</w:t>
      </w:r>
    </w:p>
    <w:p w14:paraId="00CE1EA6" w14:textId="77777777" w:rsidR="00850A18" w:rsidRDefault="00D76B6A">
      <w:pPr>
        <w:jc w:val="center"/>
        <w:rPr>
          <w:rFonts w:ascii="Arial" w:eastAsia="Arial" w:hAnsi="Arial" w:cs="Arial"/>
          <w:sz w:val="20"/>
          <w:szCs w:val="20"/>
        </w:rPr>
      </w:pPr>
      <w:r>
        <w:rPr>
          <w:rFonts w:ascii="Arial" w:eastAsia="Arial" w:hAnsi="Arial" w:cs="Arial"/>
          <w:sz w:val="20"/>
          <w:szCs w:val="20"/>
        </w:rPr>
        <w:t>Marie Pollitt, Felicity-Franklin Middle School, Felicity, Ohio</w:t>
      </w:r>
    </w:p>
    <w:p w14:paraId="7E7A7B80" w14:textId="77777777" w:rsidR="00850A18" w:rsidRDefault="00D76B6A">
      <w:pPr>
        <w:jc w:val="center"/>
        <w:rPr>
          <w:rFonts w:ascii="Arial" w:eastAsia="Arial" w:hAnsi="Arial" w:cs="Arial"/>
          <w:sz w:val="20"/>
          <w:szCs w:val="20"/>
        </w:rPr>
      </w:pPr>
      <w:r>
        <w:rPr>
          <w:rFonts w:ascii="Arial" w:eastAsia="Arial" w:hAnsi="Arial" w:cs="Arial"/>
          <w:sz w:val="20"/>
          <w:szCs w:val="20"/>
        </w:rPr>
        <w:t>RET Participant for Project #4: “Air Quality Air Quality Monitoring and Emissions Characterization Near a Major Railyard”</w:t>
      </w:r>
    </w:p>
    <w:p w14:paraId="3BE0DC5B" w14:textId="77777777" w:rsidR="00850A18" w:rsidRDefault="00850A18">
      <w:pPr>
        <w:rPr>
          <w:rFonts w:ascii="Arial" w:eastAsia="Arial" w:hAnsi="Arial" w:cs="Arial"/>
          <w:sz w:val="20"/>
          <w:szCs w:val="20"/>
        </w:rPr>
      </w:pPr>
    </w:p>
    <w:p w14:paraId="3C726201" w14:textId="681C8C6A" w:rsidR="00850A18" w:rsidRDefault="00D76B6A">
      <w:pPr>
        <w:ind w:firstLine="360"/>
        <w:rPr>
          <w:rFonts w:ascii="Arial" w:eastAsia="Arial" w:hAnsi="Arial" w:cs="Arial"/>
          <w:sz w:val="20"/>
          <w:szCs w:val="20"/>
        </w:rPr>
      </w:pPr>
      <w:r>
        <w:rPr>
          <w:rFonts w:ascii="Arial" w:eastAsia="Arial" w:hAnsi="Arial" w:cs="Arial"/>
          <w:sz w:val="20"/>
          <w:szCs w:val="20"/>
        </w:rPr>
        <w:t>Dr. Anant Kukreti provided a workshop on Tuesday, June 20, 2018 from 9</w:t>
      </w:r>
      <w:r w:rsidR="00F61063">
        <w:rPr>
          <w:rFonts w:ascii="Arial" w:eastAsia="Arial" w:hAnsi="Arial" w:cs="Arial"/>
          <w:sz w:val="20"/>
          <w:szCs w:val="20"/>
        </w:rPr>
        <w:t xml:space="preserve">:00 – </w:t>
      </w:r>
      <w:r>
        <w:rPr>
          <w:rFonts w:ascii="Arial" w:eastAsia="Arial" w:hAnsi="Arial" w:cs="Arial"/>
          <w:sz w:val="20"/>
          <w:szCs w:val="20"/>
        </w:rPr>
        <w:t>10</w:t>
      </w:r>
      <w:r w:rsidR="00F61063">
        <w:rPr>
          <w:rFonts w:ascii="Arial" w:eastAsia="Arial" w:hAnsi="Arial" w:cs="Arial"/>
          <w:sz w:val="20"/>
          <w:szCs w:val="20"/>
        </w:rPr>
        <w:t>:00</w:t>
      </w:r>
      <w:r>
        <w:rPr>
          <w:rFonts w:ascii="Arial" w:eastAsia="Arial" w:hAnsi="Arial" w:cs="Arial"/>
          <w:sz w:val="20"/>
          <w:szCs w:val="20"/>
        </w:rPr>
        <w:t xml:space="preserve"> </w:t>
      </w:r>
      <w:r w:rsidR="00F61063">
        <w:rPr>
          <w:rFonts w:ascii="Arial" w:eastAsia="Arial" w:hAnsi="Arial" w:cs="Arial"/>
          <w:sz w:val="20"/>
          <w:szCs w:val="20"/>
        </w:rPr>
        <w:t>am</w:t>
      </w:r>
      <w:r>
        <w:rPr>
          <w:rFonts w:ascii="Arial" w:eastAsia="Arial" w:hAnsi="Arial" w:cs="Arial"/>
          <w:sz w:val="20"/>
          <w:szCs w:val="20"/>
        </w:rPr>
        <w:t xml:space="preserve"> at the University of Cincinnati in Swift</w:t>
      </w:r>
      <w:r w:rsidR="00F61063">
        <w:rPr>
          <w:rFonts w:ascii="Arial" w:eastAsia="Arial" w:hAnsi="Arial" w:cs="Arial"/>
          <w:sz w:val="20"/>
          <w:szCs w:val="20"/>
        </w:rPr>
        <w:t xml:space="preserve"> Hall</w:t>
      </w:r>
      <w:r>
        <w:rPr>
          <w:rFonts w:ascii="Arial" w:eastAsia="Arial" w:hAnsi="Arial" w:cs="Arial"/>
          <w:sz w:val="20"/>
          <w:szCs w:val="20"/>
        </w:rPr>
        <w:t xml:space="preserve">, </w:t>
      </w:r>
      <w:r w:rsidR="00F61063">
        <w:rPr>
          <w:rFonts w:ascii="Arial" w:eastAsia="Arial" w:hAnsi="Arial" w:cs="Arial"/>
          <w:sz w:val="20"/>
          <w:szCs w:val="20"/>
        </w:rPr>
        <w:t>R</w:t>
      </w:r>
      <w:bookmarkStart w:id="0" w:name="_GoBack"/>
      <w:bookmarkEnd w:id="0"/>
      <w:r>
        <w:rPr>
          <w:rFonts w:ascii="Arial" w:eastAsia="Arial" w:hAnsi="Arial" w:cs="Arial"/>
          <w:sz w:val="20"/>
          <w:szCs w:val="20"/>
        </w:rPr>
        <w:t xml:space="preserve">oom 608. Dr. Anant Kukreti is the Director, Engineering Outreach for the College of Engineering and Applied Science as well as a Professor in the Department of, Chemical and Environmental Engineering. </w:t>
      </w:r>
    </w:p>
    <w:p w14:paraId="0B269D21" w14:textId="77777777" w:rsidR="00850A18" w:rsidRDefault="00850A18">
      <w:pPr>
        <w:ind w:firstLine="360"/>
        <w:rPr>
          <w:rFonts w:ascii="Arial" w:eastAsia="Arial" w:hAnsi="Arial" w:cs="Arial"/>
          <w:sz w:val="20"/>
          <w:szCs w:val="20"/>
        </w:rPr>
      </w:pPr>
    </w:p>
    <w:p w14:paraId="6366A984" w14:textId="3DAEB723" w:rsidR="00850A18" w:rsidRDefault="00D76B6A">
      <w:pPr>
        <w:ind w:firstLine="360"/>
        <w:rPr>
          <w:rFonts w:ascii="Arial" w:eastAsia="Arial" w:hAnsi="Arial" w:cs="Arial"/>
          <w:sz w:val="20"/>
          <w:szCs w:val="20"/>
        </w:rPr>
      </w:pPr>
      <w:r>
        <w:rPr>
          <w:rFonts w:ascii="Arial" w:eastAsia="Arial" w:hAnsi="Arial" w:cs="Arial"/>
          <w:sz w:val="20"/>
          <w:szCs w:val="20"/>
        </w:rPr>
        <w:t xml:space="preserve">Dr. Kukreti began his session by giving an overview of the importance of research ethics. He emphasized </w:t>
      </w:r>
      <w:r w:rsidR="005B40EB">
        <w:rPr>
          <w:rFonts w:ascii="Arial" w:eastAsia="Arial" w:hAnsi="Arial" w:cs="Arial"/>
          <w:sz w:val="20"/>
          <w:szCs w:val="20"/>
        </w:rPr>
        <w:t>the importance of not</w:t>
      </w:r>
      <w:r>
        <w:rPr>
          <w:rFonts w:ascii="Arial" w:eastAsia="Arial" w:hAnsi="Arial" w:cs="Arial"/>
          <w:sz w:val="20"/>
          <w:szCs w:val="20"/>
        </w:rPr>
        <w:t xml:space="preserve"> fudg</w:t>
      </w:r>
      <w:r w:rsidR="005B40EB">
        <w:rPr>
          <w:rFonts w:ascii="Arial" w:eastAsia="Arial" w:hAnsi="Arial" w:cs="Arial"/>
          <w:sz w:val="20"/>
          <w:szCs w:val="20"/>
        </w:rPr>
        <w:t>ing</w:t>
      </w:r>
      <w:r>
        <w:rPr>
          <w:rFonts w:ascii="Arial" w:eastAsia="Arial" w:hAnsi="Arial" w:cs="Arial"/>
          <w:sz w:val="20"/>
          <w:szCs w:val="20"/>
        </w:rPr>
        <w:t xml:space="preserve"> your data, </w:t>
      </w:r>
      <w:r w:rsidR="000B39FC">
        <w:rPr>
          <w:rFonts w:ascii="Arial" w:eastAsia="Arial" w:hAnsi="Arial" w:cs="Arial"/>
          <w:sz w:val="20"/>
          <w:szCs w:val="20"/>
        </w:rPr>
        <w:t>misleading</w:t>
      </w:r>
      <w:r>
        <w:rPr>
          <w:rFonts w:ascii="Arial" w:eastAsia="Arial" w:hAnsi="Arial" w:cs="Arial"/>
          <w:sz w:val="20"/>
          <w:szCs w:val="20"/>
        </w:rPr>
        <w:t xml:space="preserve"> people, tak</w:t>
      </w:r>
      <w:r w:rsidR="005B40EB">
        <w:rPr>
          <w:rFonts w:ascii="Arial" w:eastAsia="Arial" w:hAnsi="Arial" w:cs="Arial"/>
          <w:sz w:val="20"/>
          <w:szCs w:val="20"/>
        </w:rPr>
        <w:t>ing</w:t>
      </w:r>
      <w:r>
        <w:rPr>
          <w:rFonts w:ascii="Arial" w:eastAsia="Arial" w:hAnsi="Arial" w:cs="Arial"/>
          <w:sz w:val="20"/>
          <w:szCs w:val="20"/>
        </w:rPr>
        <w:t xml:space="preserve"> money to get the “right” answer, or try</w:t>
      </w:r>
      <w:r w:rsidR="005B40EB">
        <w:rPr>
          <w:rFonts w:ascii="Arial" w:eastAsia="Arial" w:hAnsi="Arial" w:cs="Arial"/>
          <w:sz w:val="20"/>
          <w:szCs w:val="20"/>
        </w:rPr>
        <w:t>ing</w:t>
      </w:r>
      <w:r>
        <w:rPr>
          <w:rFonts w:ascii="Arial" w:eastAsia="Arial" w:hAnsi="Arial" w:cs="Arial"/>
          <w:sz w:val="20"/>
          <w:szCs w:val="20"/>
        </w:rPr>
        <w:t xml:space="preserve"> to profit from your research. There have been many unethical research situations that have occurred in regards to conducting research. A few documented situations included experiments on human subjects, acceptance of gifts or research support, burying “bad” results, disclosure of unverified results, and intentionally misleading research for political reasons. </w:t>
      </w:r>
    </w:p>
    <w:p w14:paraId="7482256F" w14:textId="77777777" w:rsidR="00850A18" w:rsidRDefault="00850A18">
      <w:pPr>
        <w:ind w:firstLine="360"/>
        <w:rPr>
          <w:rFonts w:ascii="Arial" w:eastAsia="Arial" w:hAnsi="Arial" w:cs="Arial"/>
          <w:sz w:val="20"/>
          <w:szCs w:val="20"/>
        </w:rPr>
      </w:pPr>
    </w:p>
    <w:p w14:paraId="3FE31686" w14:textId="72B47CB3" w:rsidR="00850A18" w:rsidRDefault="00D76B6A">
      <w:pPr>
        <w:ind w:firstLine="360"/>
        <w:rPr>
          <w:rFonts w:ascii="Arial" w:eastAsia="Arial" w:hAnsi="Arial" w:cs="Arial"/>
          <w:sz w:val="20"/>
          <w:szCs w:val="20"/>
        </w:rPr>
      </w:pPr>
      <w:r>
        <w:rPr>
          <w:rFonts w:ascii="Arial" w:eastAsia="Arial" w:hAnsi="Arial" w:cs="Arial"/>
          <w:sz w:val="20"/>
          <w:szCs w:val="20"/>
        </w:rPr>
        <w:t xml:space="preserve">There </w:t>
      </w:r>
      <w:r w:rsidR="005B40EB">
        <w:rPr>
          <w:rFonts w:ascii="Arial" w:eastAsia="Arial" w:hAnsi="Arial" w:cs="Arial"/>
          <w:sz w:val="20"/>
          <w:szCs w:val="20"/>
        </w:rPr>
        <w:t xml:space="preserve">were </w:t>
      </w:r>
      <w:r>
        <w:rPr>
          <w:rFonts w:ascii="Arial" w:eastAsia="Arial" w:hAnsi="Arial" w:cs="Arial"/>
          <w:sz w:val="20"/>
          <w:szCs w:val="20"/>
        </w:rPr>
        <w:t>two big issues addressed in his session: misconduct and unethical behavior. Misconduct is knowingly falsifying data for personal gain. Honest errors are not considered misconduct as long as the intent was not to deceive. If research misconduct occurs, it can lead to job discipline as well as legal punishment. Unethical behavior on the other hand is not necessarily misconduct. Errors in data are not unethical behavior</w:t>
      </w:r>
      <w:r w:rsidR="000B39FC">
        <w:rPr>
          <w:rFonts w:ascii="Arial" w:eastAsia="Arial" w:hAnsi="Arial" w:cs="Arial"/>
          <w:sz w:val="20"/>
          <w:szCs w:val="20"/>
        </w:rPr>
        <w:t>,</w:t>
      </w:r>
      <w:r>
        <w:rPr>
          <w:rFonts w:ascii="Arial" w:eastAsia="Arial" w:hAnsi="Arial" w:cs="Arial"/>
          <w:sz w:val="20"/>
          <w:szCs w:val="20"/>
        </w:rPr>
        <w:t xml:space="preserve"> but not reporting the error can result in a punishable offense. If the error is proven to be harmless</w:t>
      </w:r>
      <w:r w:rsidR="005B40EB">
        <w:rPr>
          <w:rFonts w:ascii="Arial" w:eastAsia="Arial" w:hAnsi="Arial" w:cs="Arial"/>
          <w:sz w:val="20"/>
          <w:szCs w:val="20"/>
        </w:rPr>
        <w:t>,</w:t>
      </w:r>
      <w:r>
        <w:rPr>
          <w:rFonts w:ascii="Arial" w:eastAsia="Arial" w:hAnsi="Arial" w:cs="Arial"/>
          <w:sz w:val="20"/>
          <w:szCs w:val="20"/>
        </w:rPr>
        <w:t xml:space="preserve"> it will probably not receive a consequence.</w:t>
      </w:r>
    </w:p>
    <w:p w14:paraId="05E3EE9F" w14:textId="77777777" w:rsidR="00850A18" w:rsidRDefault="00850A18">
      <w:pPr>
        <w:ind w:firstLine="360"/>
        <w:rPr>
          <w:rFonts w:ascii="Arial" w:eastAsia="Arial" w:hAnsi="Arial" w:cs="Arial"/>
          <w:sz w:val="20"/>
          <w:szCs w:val="20"/>
        </w:rPr>
      </w:pPr>
    </w:p>
    <w:p w14:paraId="1445F85F" w14:textId="7F1C5F66" w:rsidR="00CE529E" w:rsidRDefault="00D76B6A">
      <w:pPr>
        <w:ind w:firstLine="360"/>
        <w:rPr>
          <w:rFonts w:ascii="Arial" w:eastAsia="Arial" w:hAnsi="Arial" w:cs="Arial"/>
          <w:sz w:val="20"/>
          <w:szCs w:val="20"/>
        </w:rPr>
      </w:pPr>
      <w:r>
        <w:rPr>
          <w:rFonts w:ascii="Arial" w:eastAsia="Arial" w:hAnsi="Arial" w:cs="Arial"/>
          <w:sz w:val="20"/>
          <w:szCs w:val="20"/>
        </w:rPr>
        <w:t xml:space="preserve">Dr. Kukreti introduced thirteen guiding principles adopted from David B. </w:t>
      </w:r>
      <w:proofErr w:type="spellStart"/>
      <w:r>
        <w:rPr>
          <w:rFonts w:ascii="Arial" w:eastAsia="Arial" w:hAnsi="Arial" w:cs="Arial"/>
          <w:sz w:val="20"/>
          <w:szCs w:val="20"/>
        </w:rPr>
        <w:t>Resnik</w:t>
      </w:r>
      <w:proofErr w:type="spellEnd"/>
      <w:r>
        <w:rPr>
          <w:rFonts w:ascii="Arial" w:eastAsia="Arial" w:hAnsi="Arial" w:cs="Arial"/>
          <w:sz w:val="20"/>
          <w:szCs w:val="20"/>
        </w:rPr>
        <w:t>, J.D., Ph.D.</w:t>
      </w:r>
      <w:r w:rsidR="005B40EB">
        <w:rPr>
          <w:rFonts w:ascii="Arial" w:eastAsia="Arial" w:hAnsi="Arial" w:cs="Arial"/>
          <w:sz w:val="20"/>
          <w:szCs w:val="20"/>
        </w:rPr>
        <w:t>,</w:t>
      </w:r>
      <w:r>
        <w:rPr>
          <w:rFonts w:ascii="Arial" w:eastAsia="Arial" w:hAnsi="Arial" w:cs="Arial"/>
          <w:sz w:val="20"/>
          <w:szCs w:val="20"/>
        </w:rPr>
        <w:t xml:space="preserve"> that addresses various codes and policies: honesty, objectivity, integrity, carefulness, openness, respect for intellectual property, confidentially, responsible publication, responsible mentoring, respect for colleagues, social responsibility, non-discrimination, competence, legality, and animal care. In regards to honesty, Dr. Kukreti iterated the importance of disclosure </w:t>
      </w:r>
      <w:r w:rsidR="000B39FC">
        <w:rPr>
          <w:rFonts w:ascii="Arial" w:eastAsia="Arial" w:hAnsi="Arial" w:cs="Arial"/>
          <w:sz w:val="20"/>
          <w:szCs w:val="20"/>
        </w:rPr>
        <w:t>(</w:t>
      </w:r>
      <w:r>
        <w:rPr>
          <w:rFonts w:ascii="Arial" w:eastAsia="Arial" w:hAnsi="Arial" w:cs="Arial"/>
          <w:sz w:val="20"/>
          <w:szCs w:val="20"/>
        </w:rPr>
        <w:t xml:space="preserve">see </w:t>
      </w:r>
      <w:r w:rsidRPr="000B39FC">
        <w:rPr>
          <w:rFonts w:ascii="Arial" w:eastAsia="Arial" w:hAnsi="Arial" w:cs="Arial"/>
          <w:b/>
          <w:sz w:val="20"/>
          <w:szCs w:val="20"/>
        </w:rPr>
        <w:t>Figure 1</w:t>
      </w:r>
      <w:r w:rsidR="000B39FC">
        <w:rPr>
          <w:rFonts w:ascii="Arial" w:eastAsia="Arial" w:hAnsi="Arial" w:cs="Arial"/>
          <w:sz w:val="20"/>
          <w:szCs w:val="20"/>
        </w:rPr>
        <w:t>)</w:t>
      </w:r>
      <w:r>
        <w:rPr>
          <w:rFonts w:ascii="Arial" w:eastAsia="Arial" w:hAnsi="Arial" w:cs="Arial"/>
          <w:sz w:val="20"/>
          <w:szCs w:val="20"/>
        </w:rPr>
        <w:t xml:space="preserve">. Although data may have to be manipulated to eliminate incorrect data, clear records of the original data and complete disclosure of the findings need to be revealed. Objectivity is admitting and minimizing bias because all humans have biases, prejudices, and preconceived notions. He </w:t>
      </w:r>
      <w:r w:rsidR="005B40EB">
        <w:rPr>
          <w:rFonts w:ascii="Arial" w:eastAsia="Arial" w:hAnsi="Arial" w:cs="Arial"/>
          <w:sz w:val="20"/>
          <w:szCs w:val="20"/>
        </w:rPr>
        <w:t>re</w:t>
      </w:r>
      <w:r>
        <w:rPr>
          <w:rFonts w:ascii="Arial" w:eastAsia="Arial" w:hAnsi="Arial" w:cs="Arial"/>
          <w:sz w:val="20"/>
          <w:szCs w:val="20"/>
        </w:rPr>
        <w:t xml:space="preserve">viewed two topics </w:t>
      </w:r>
      <w:r w:rsidR="005B40EB">
        <w:rPr>
          <w:rFonts w:ascii="Arial" w:eastAsia="Arial" w:hAnsi="Arial" w:cs="Arial"/>
          <w:sz w:val="20"/>
          <w:szCs w:val="20"/>
        </w:rPr>
        <w:t xml:space="preserve">related to </w:t>
      </w:r>
      <w:r>
        <w:rPr>
          <w:rFonts w:ascii="Arial" w:eastAsia="Arial" w:hAnsi="Arial" w:cs="Arial"/>
          <w:sz w:val="20"/>
          <w:szCs w:val="20"/>
        </w:rPr>
        <w:t xml:space="preserve">integrity: conflict of interest and bias. He emphasized that a Conflict of Interest form </w:t>
      </w:r>
      <w:r w:rsidR="00810D9C">
        <w:rPr>
          <w:rFonts w:ascii="Arial" w:eastAsia="Arial" w:hAnsi="Arial" w:cs="Arial"/>
          <w:sz w:val="20"/>
          <w:szCs w:val="20"/>
        </w:rPr>
        <w:t>must</w:t>
      </w:r>
      <w:r>
        <w:rPr>
          <w:rFonts w:ascii="Arial" w:eastAsia="Arial" w:hAnsi="Arial" w:cs="Arial"/>
          <w:sz w:val="20"/>
          <w:szCs w:val="20"/>
        </w:rPr>
        <w:t xml:space="preserve"> be signed </w:t>
      </w:r>
      <w:r w:rsidR="00810D9C">
        <w:rPr>
          <w:rFonts w:ascii="Arial" w:eastAsia="Arial" w:hAnsi="Arial" w:cs="Arial"/>
          <w:sz w:val="20"/>
          <w:szCs w:val="20"/>
        </w:rPr>
        <w:t>and</w:t>
      </w:r>
      <w:r>
        <w:rPr>
          <w:rFonts w:ascii="Arial" w:eastAsia="Arial" w:hAnsi="Arial" w:cs="Arial"/>
          <w:sz w:val="20"/>
          <w:szCs w:val="20"/>
        </w:rPr>
        <w:t xml:space="preserve"> that salary is not considered to be a conflict of interest but doing research for money is unethical. Carefulness can be obtained by keeping a journal which will help avoid careless errors and negligence. Openness is achieved by sharing information while </w:t>
      </w:r>
      <w:r w:rsidR="00CE529E">
        <w:rPr>
          <w:rFonts w:ascii="Arial" w:eastAsia="Arial" w:hAnsi="Arial" w:cs="Arial"/>
          <w:sz w:val="20"/>
          <w:szCs w:val="20"/>
        </w:rPr>
        <w:t xml:space="preserve">simultaneously </w:t>
      </w:r>
      <w:r>
        <w:rPr>
          <w:rFonts w:ascii="Arial" w:eastAsia="Arial" w:hAnsi="Arial" w:cs="Arial"/>
          <w:sz w:val="20"/>
          <w:szCs w:val="20"/>
        </w:rPr>
        <w:t xml:space="preserve">being mindful of confidentiality agreements. </w:t>
      </w:r>
    </w:p>
    <w:p w14:paraId="5B56073D" w14:textId="77777777" w:rsidR="00CE529E" w:rsidRDefault="00CE529E">
      <w:pPr>
        <w:ind w:firstLine="360"/>
        <w:rPr>
          <w:rFonts w:ascii="Arial" w:eastAsia="Arial" w:hAnsi="Arial" w:cs="Arial"/>
          <w:sz w:val="20"/>
          <w:szCs w:val="20"/>
        </w:rPr>
      </w:pPr>
    </w:p>
    <w:p w14:paraId="0E6087E1" w14:textId="77777777" w:rsidR="00CE529E" w:rsidRDefault="00CE529E" w:rsidP="008344DE">
      <w:pPr>
        <w:ind w:firstLine="36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87AB613" wp14:editId="590B71CC">
            <wp:extent cx="1189114" cy="1371600"/>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26694" t="38009" r="22515"/>
                    <a:stretch>
                      <a:fillRect/>
                    </a:stretch>
                  </pic:blipFill>
                  <pic:spPr>
                    <a:xfrm>
                      <a:off x="0" y="0"/>
                      <a:ext cx="1189114" cy="1371600"/>
                    </a:xfrm>
                    <a:prstGeom prst="rect">
                      <a:avLst/>
                    </a:prstGeom>
                    <a:ln/>
                  </pic:spPr>
                </pic:pic>
              </a:graphicData>
            </a:graphic>
          </wp:inline>
        </w:drawing>
      </w:r>
    </w:p>
    <w:p w14:paraId="2849789D" w14:textId="77777777" w:rsidR="00CE529E" w:rsidRDefault="00CE529E" w:rsidP="008344DE">
      <w:pPr>
        <w:spacing w:before="120"/>
        <w:ind w:firstLine="360"/>
        <w:jc w:val="center"/>
        <w:rPr>
          <w:rFonts w:ascii="Arial" w:eastAsia="Arial" w:hAnsi="Arial" w:cs="Arial"/>
          <w:sz w:val="20"/>
          <w:szCs w:val="20"/>
        </w:rPr>
      </w:pPr>
      <w:r>
        <w:rPr>
          <w:rFonts w:ascii="Arial" w:eastAsia="Arial" w:hAnsi="Arial" w:cs="Arial"/>
          <w:b/>
          <w:sz w:val="20"/>
          <w:szCs w:val="20"/>
        </w:rPr>
        <w:t>Figure 1: Importance of Honesty</w:t>
      </w:r>
    </w:p>
    <w:p w14:paraId="25A4E984" w14:textId="77777777" w:rsidR="00CE529E" w:rsidRDefault="00CE529E">
      <w:pPr>
        <w:ind w:firstLine="360"/>
        <w:rPr>
          <w:rFonts w:ascii="Arial" w:eastAsia="Arial" w:hAnsi="Arial" w:cs="Arial"/>
          <w:sz w:val="20"/>
          <w:szCs w:val="20"/>
        </w:rPr>
      </w:pPr>
    </w:p>
    <w:p w14:paraId="429F358F" w14:textId="21677EA5" w:rsidR="00850A18" w:rsidRDefault="00CE529E">
      <w:pPr>
        <w:ind w:firstLine="360"/>
        <w:rPr>
          <w:rFonts w:ascii="Arial" w:eastAsia="Arial" w:hAnsi="Arial" w:cs="Arial"/>
          <w:sz w:val="20"/>
          <w:szCs w:val="20"/>
        </w:rPr>
      </w:pPr>
      <w:r>
        <w:rPr>
          <w:rFonts w:ascii="Arial" w:eastAsia="Arial" w:hAnsi="Arial" w:cs="Arial"/>
          <w:sz w:val="20"/>
          <w:szCs w:val="20"/>
        </w:rPr>
        <w:t xml:space="preserve">Dr. Kukreti </w:t>
      </w:r>
      <w:r w:rsidR="00D76B6A">
        <w:rPr>
          <w:rFonts w:ascii="Arial" w:eastAsia="Arial" w:hAnsi="Arial" w:cs="Arial"/>
          <w:sz w:val="20"/>
          <w:szCs w:val="20"/>
        </w:rPr>
        <w:t xml:space="preserve">stated that a key component of respecting intellectual property is to give credit if </w:t>
      </w:r>
      <w:r>
        <w:rPr>
          <w:rFonts w:ascii="Arial" w:eastAsia="Arial" w:hAnsi="Arial" w:cs="Arial"/>
          <w:sz w:val="20"/>
          <w:szCs w:val="20"/>
        </w:rPr>
        <w:t xml:space="preserve">you are </w:t>
      </w:r>
      <w:r w:rsidR="00D76B6A">
        <w:rPr>
          <w:rFonts w:ascii="Arial" w:eastAsia="Arial" w:hAnsi="Arial" w:cs="Arial"/>
          <w:sz w:val="20"/>
          <w:szCs w:val="20"/>
        </w:rPr>
        <w:t xml:space="preserve">using someone’s research </w:t>
      </w:r>
      <w:r w:rsidR="009F604F">
        <w:rPr>
          <w:rFonts w:ascii="Arial" w:eastAsia="Arial" w:hAnsi="Arial" w:cs="Arial"/>
          <w:sz w:val="20"/>
          <w:szCs w:val="20"/>
        </w:rPr>
        <w:t>(</w:t>
      </w:r>
      <w:r w:rsidR="00D76B6A">
        <w:rPr>
          <w:rFonts w:ascii="Arial" w:eastAsia="Arial" w:hAnsi="Arial" w:cs="Arial"/>
          <w:sz w:val="20"/>
          <w:szCs w:val="20"/>
        </w:rPr>
        <w:t xml:space="preserve">see </w:t>
      </w:r>
      <w:r w:rsidR="00D76B6A" w:rsidRPr="000B39FC">
        <w:rPr>
          <w:rFonts w:ascii="Arial" w:eastAsia="Arial" w:hAnsi="Arial" w:cs="Arial"/>
          <w:b/>
          <w:sz w:val="20"/>
          <w:szCs w:val="20"/>
        </w:rPr>
        <w:t>Figure 2</w:t>
      </w:r>
      <w:r w:rsidR="009F604F">
        <w:rPr>
          <w:rFonts w:ascii="Arial" w:eastAsia="Arial" w:hAnsi="Arial" w:cs="Arial"/>
          <w:sz w:val="20"/>
          <w:szCs w:val="20"/>
        </w:rPr>
        <w:t>)</w:t>
      </w:r>
      <w:r w:rsidR="00D76B6A">
        <w:rPr>
          <w:rFonts w:ascii="Arial" w:eastAsia="Arial" w:hAnsi="Arial" w:cs="Arial"/>
          <w:sz w:val="20"/>
          <w:szCs w:val="20"/>
        </w:rPr>
        <w:t xml:space="preserve">. It </w:t>
      </w:r>
      <w:r>
        <w:rPr>
          <w:rFonts w:ascii="Arial" w:eastAsia="Arial" w:hAnsi="Arial" w:cs="Arial"/>
          <w:sz w:val="20"/>
          <w:szCs w:val="20"/>
        </w:rPr>
        <w:t xml:space="preserve">was </w:t>
      </w:r>
      <w:r w:rsidR="00D76B6A">
        <w:rPr>
          <w:rFonts w:ascii="Arial" w:eastAsia="Arial" w:hAnsi="Arial" w:cs="Arial"/>
          <w:sz w:val="20"/>
          <w:szCs w:val="20"/>
        </w:rPr>
        <w:t xml:space="preserve">noted that </w:t>
      </w:r>
      <w:r>
        <w:rPr>
          <w:rFonts w:ascii="Arial" w:eastAsia="Arial" w:hAnsi="Arial" w:cs="Arial"/>
          <w:sz w:val="20"/>
          <w:szCs w:val="20"/>
        </w:rPr>
        <w:t>because there are those that</w:t>
      </w:r>
      <w:r w:rsidR="00D76B6A">
        <w:rPr>
          <w:rFonts w:ascii="Arial" w:eastAsia="Arial" w:hAnsi="Arial" w:cs="Arial"/>
          <w:sz w:val="20"/>
          <w:szCs w:val="20"/>
        </w:rPr>
        <w:t xml:space="preserve"> steal other’s work, </w:t>
      </w:r>
      <w:r>
        <w:rPr>
          <w:rFonts w:ascii="Arial" w:eastAsia="Arial" w:hAnsi="Arial" w:cs="Arial"/>
          <w:sz w:val="20"/>
          <w:szCs w:val="20"/>
        </w:rPr>
        <w:t xml:space="preserve">it is </w:t>
      </w:r>
      <w:r w:rsidR="00D76B6A">
        <w:rPr>
          <w:rFonts w:ascii="Arial" w:eastAsia="Arial" w:hAnsi="Arial" w:cs="Arial"/>
          <w:sz w:val="20"/>
          <w:szCs w:val="20"/>
        </w:rPr>
        <w:t xml:space="preserve">not </w:t>
      </w:r>
      <w:r>
        <w:rPr>
          <w:rFonts w:ascii="Arial" w:eastAsia="Arial" w:hAnsi="Arial" w:cs="Arial"/>
          <w:sz w:val="20"/>
          <w:szCs w:val="20"/>
        </w:rPr>
        <w:t xml:space="preserve">advisable to </w:t>
      </w:r>
      <w:r w:rsidR="00D76B6A">
        <w:rPr>
          <w:rFonts w:ascii="Arial" w:eastAsia="Arial" w:hAnsi="Arial" w:cs="Arial"/>
          <w:sz w:val="20"/>
          <w:szCs w:val="20"/>
        </w:rPr>
        <w:t>disclose information before the owner of the research is ready. Publications are used to advance research and scholarships</w:t>
      </w:r>
      <w:r>
        <w:rPr>
          <w:rFonts w:ascii="Arial" w:eastAsia="Arial" w:hAnsi="Arial" w:cs="Arial"/>
          <w:sz w:val="20"/>
          <w:szCs w:val="20"/>
        </w:rPr>
        <w:t>,</w:t>
      </w:r>
      <w:r w:rsidR="00D76B6A">
        <w:rPr>
          <w:rFonts w:ascii="Arial" w:eastAsia="Arial" w:hAnsi="Arial" w:cs="Arial"/>
          <w:sz w:val="20"/>
          <w:szCs w:val="20"/>
        </w:rPr>
        <w:t xml:space="preserve"> not </w:t>
      </w:r>
      <w:r>
        <w:rPr>
          <w:rFonts w:ascii="Arial" w:eastAsia="Arial" w:hAnsi="Arial" w:cs="Arial"/>
          <w:sz w:val="20"/>
          <w:szCs w:val="20"/>
        </w:rPr>
        <w:t xml:space="preserve">your </w:t>
      </w:r>
      <w:r w:rsidR="00D76B6A">
        <w:rPr>
          <w:rFonts w:ascii="Arial" w:eastAsia="Arial" w:hAnsi="Arial" w:cs="Arial"/>
          <w:sz w:val="20"/>
          <w:szCs w:val="20"/>
        </w:rPr>
        <w:t>career</w:t>
      </w:r>
      <w:r>
        <w:rPr>
          <w:rFonts w:ascii="Arial" w:eastAsia="Arial" w:hAnsi="Arial" w:cs="Arial"/>
          <w:sz w:val="20"/>
          <w:szCs w:val="20"/>
        </w:rPr>
        <w:t>,</w:t>
      </w:r>
      <w:r w:rsidR="00D76B6A">
        <w:rPr>
          <w:rFonts w:ascii="Arial" w:eastAsia="Arial" w:hAnsi="Arial" w:cs="Arial"/>
          <w:sz w:val="20"/>
          <w:szCs w:val="20"/>
        </w:rPr>
        <w:t xml:space="preserve"> therefore </w:t>
      </w:r>
      <w:r>
        <w:rPr>
          <w:rFonts w:ascii="Arial" w:eastAsia="Arial" w:hAnsi="Arial" w:cs="Arial"/>
          <w:sz w:val="20"/>
          <w:szCs w:val="20"/>
        </w:rPr>
        <w:t xml:space="preserve">one should </w:t>
      </w:r>
      <w:r w:rsidR="00D76B6A">
        <w:rPr>
          <w:rFonts w:ascii="Arial" w:eastAsia="Arial" w:hAnsi="Arial" w:cs="Arial"/>
          <w:sz w:val="20"/>
          <w:szCs w:val="20"/>
        </w:rPr>
        <w:t xml:space="preserve">not produce redundant publications leading to publishers not </w:t>
      </w:r>
      <w:r>
        <w:rPr>
          <w:rFonts w:ascii="Arial" w:eastAsia="Arial" w:hAnsi="Arial" w:cs="Arial"/>
          <w:sz w:val="20"/>
          <w:szCs w:val="20"/>
        </w:rPr>
        <w:t xml:space="preserve">accepting future </w:t>
      </w:r>
      <w:r w:rsidR="00D76B6A">
        <w:rPr>
          <w:rFonts w:ascii="Arial" w:eastAsia="Arial" w:hAnsi="Arial" w:cs="Arial"/>
          <w:sz w:val="20"/>
          <w:szCs w:val="20"/>
        </w:rPr>
        <w:t xml:space="preserve">papers any longer. Dr. Kukreti urged participants to </w:t>
      </w:r>
      <w:r>
        <w:rPr>
          <w:rFonts w:ascii="Arial" w:eastAsia="Arial" w:hAnsi="Arial" w:cs="Arial"/>
          <w:sz w:val="20"/>
          <w:szCs w:val="20"/>
        </w:rPr>
        <w:t xml:space="preserve">have </w:t>
      </w:r>
      <w:r w:rsidR="00D76B6A">
        <w:rPr>
          <w:rFonts w:ascii="Arial" w:eastAsia="Arial" w:hAnsi="Arial" w:cs="Arial"/>
          <w:sz w:val="20"/>
          <w:szCs w:val="20"/>
        </w:rPr>
        <w:t xml:space="preserve">respect for colleagues and </w:t>
      </w:r>
      <w:r>
        <w:rPr>
          <w:rFonts w:ascii="Arial" w:eastAsia="Arial" w:hAnsi="Arial" w:cs="Arial"/>
          <w:sz w:val="20"/>
          <w:szCs w:val="20"/>
        </w:rPr>
        <w:t xml:space="preserve">engage in </w:t>
      </w:r>
      <w:r w:rsidR="00D76B6A">
        <w:rPr>
          <w:rFonts w:ascii="Arial" w:eastAsia="Arial" w:hAnsi="Arial" w:cs="Arial"/>
          <w:sz w:val="20"/>
          <w:szCs w:val="20"/>
        </w:rPr>
        <w:t xml:space="preserve">responsible mentoring. It is not ethical to misuse those under you; for example, treat them as </w:t>
      </w:r>
      <w:r w:rsidR="002125EB">
        <w:rPr>
          <w:rFonts w:ascii="Arial" w:eastAsia="Arial" w:hAnsi="Arial" w:cs="Arial"/>
          <w:sz w:val="20"/>
          <w:szCs w:val="20"/>
        </w:rPr>
        <w:t xml:space="preserve">an </w:t>
      </w:r>
      <w:r w:rsidR="00D76B6A">
        <w:rPr>
          <w:rFonts w:ascii="Arial" w:eastAsia="Arial" w:hAnsi="Arial" w:cs="Arial"/>
          <w:sz w:val="20"/>
          <w:szCs w:val="20"/>
        </w:rPr>
        <w:t xml:space="preserve">indentured servant or threaten withholding graduation or tenure. Social responsibility is to report the findings of all research, even the if it contradicts the sponsor’s interests. As a professional, maintain and improve competences by going to conferences and reading research. </w:t>
      </w:r>
      <w:r w:rsidR="002125EB">
        <w:rPr>
          <w:rFonts w:ascii="Arial" w:eastAsia="Arial" w:hAnsi="Arial" w:cs="Arial"/>
          <w:sz w:val="20"/>
          <w:szCs w:val="20"/>
        </w:rPr>
        <w:t>In addition to n</w:t>
      </w:r>
      <w:r w:rsidR="00D76B6A">
        <w:rPr>
          <w:rFonts w:ascii="Arial" w:eastAsia="Arial" w:hAnsi="Arial" w:cs="Arial"/>
          <w:sz w:val="20"/>
          <w:szCs w:val="20"/>
        </w:rPr>
        <w:t>ondiscrimination and legality Dr. Kukreti</w:t>
      </w:r>
      <w:r w:rsidR="002125EB">
        <w:rPr>
          <w:rFonts w:ascii="Arial" w:eastAsia="Arial" w:hAnsi="Arial" w:cs="Arial"/>
          <w:sz w:val="20"/>
          <w:szCs w:val="20"/>
        </w:rPr>
        <w:t xml:space="preserve"> also</w:t>
      </w:r>
      <w:r w:rsidR="009F604F">
        <w:rPr>
          <w:rFonts w:ascii="Arial" w:eastAsia="Arial" w:hAnsi="Arial" w:cs="Arial"/>
          <w:sz w:val="20"/>
          <w:szCs w:val="20"/>
        </w:rPr>
        <w:t xml:space="preserve"> </w:t>
      </w:r>
      <w:r w:rsidR="00D76B6A">
        <w:rPr>
          <w:rFonts w:ascii="Arial" w:eastAsia="Arial" w:hAnsi="Arial" w:cs="Arial"/>
          <w:sz w:val="20"/>
          <w:szCs w:val="20"/>
        </w:rPr>
        <w:t>spoke of human subject and animal care/protection. Prior to conducting human subject research, the Institutional Review Board (</w:t>
      </w:r>
      <w:r w:rsidR="00D76B6A" w:rsidRPr="008344DE">
        <w:rPr>
          <w:rFonts w:ascii="Arial" w:eastAsia="Arial" w:hAnsi="Arial" w:cs="Arial"/>
          <w:b/>
          <w:sz w:val="20"/>
          <w:szCs w:val="20"/>
        </w:rPr>
        <w:t>IRB</w:t>
      </w:r>
      <w:r w:rsidR="00D76B6A">
        <w:rPr>
          <w:rFonts w:ascii="Arial" w:eastAsia="Arial" w:hAnsi="Arial" w:cs="Arial"/>
          <w:sz w:val="20"/>
          <w:szCs w:val="20"/>
        </w:rPr>
        <w:t xml:space="preserve">) must approve. The protocol also calls for </w:t>
      </w:r>
      <w:r w:rsidR="002125EB">
        <w:rPr>
          <w:rFonts w:ascii="Arial" w:eastAsia="Arial" w:hAnsi="Arial" w:cs="Arial"/>
          <w:sz w:val="20"/>
          <w:szCs w:val="20"/>
        </w:rPr>
        <w:t xml:space="preserve">the IRB </w:t>
      </w:r>
      <w:r w:rsidR="00D76B6A">
        <w:rPr>
          <w:rFonts w:ascii="Arial" w:eastAsia="Arial" w:hAnsi="Arial" w:cs="Arial"/>
          <w:sz w:val="20"/>
          <w:szCs w:val="20"/>
        </w:rPr>
        <w:t>to be filed and followed.</w:t>
      </w:r>
      <w:r w:rsidR="00CB5E1F">
        <w:rPr>
          <w:rFonts w:ascii="Arial" w:eastAsia="Arial" w:hAnsi="Arial" w:cs="Arial"/>
          <w:sz w:val="20"/>
          <w:szCs w:val="20"/>
        </w:rPr>
        <w:t xml:space="preserve"> All human subjects must be informed of the research, their level of involvement, the objective of the research, how the data will be used and the opt-out clause</w:t>
      </w:r>
      <w:r w:rsidR="00D76B6A">
        <w:rPr>
          <w:rFonts w:ascii="Arial" w:eastAsia="Arial" w:hAnsi="Arial" w:cs="Arial"/>
          <w:sz w:val="20"/>
          <w:szCs w:val="20"/>
        </w:rPr>
        <w:t xml:space="preserve"> even if the </w:t>
      </w:r>
      <w:r w:rsidR="00CB5E1F">
        <w:rPr>
          <w:rFonts w:ascii="Arial" w:eastAsia="Arial" w:hAnsi="Arial" w:cs="Arial"/>
          <w:sz w:val="20"/>
          <w:szCs w:val="20"/>
        </w:rPr>
        <w:t>they</w:t>
      </w:r>
      <w:r w:rsidR="00D76B6A">
        <w:rPr>
          <w:rFonts w:ascii="Arial" w:eastAsia="Arial" w:hAnsi="Arial" w:cs="Arial"/>
          <w:sz w:val="20"/>
          <w:szCs w:val="20"/>
        </w:rPr>
        <w:t xml:space="preserve"> are not </w:t>
      </w:r>
      <w:r w:rsidR="002125EB">
        <w:rPr>
          <w:rFonts w:ascii="Arial" w:eastAsia="Arial" w:hAnsi="Arial" w:cs="Arial"/>
          <w:sz w:val="20"/>
          <w:szCs w:val="20"/>
        </w:rPr>
        <w:t xml:space="preserve">involved in direct </w:t>
      </w:r>
      <w:r w:rsidR="00D76B6A">
        <w:rPr>
          <w:rFonts w:ascii="Arial" w:eastAsia="Arial" w:hAnsi="Arial" w:cs="Arial"/>
          <w:sz w:val="20"/>
          <w:szCs w:val="20"/>
        </w:rPr>
        <w:t>test</w:t>
      </w:r>
      <w:r w:rsidR="002125EB">
        <w:rPr>
          <w:rFonts w:ascii="Arial" w:eastAsia="Arial" w:hAnsi="Arial" w:cs="Arial"/>
          <w:sz w:val="20"/>
          <w:szCs w:val="20"/>
        </w:rPr>
        <w:t>ing</w:t>
      </w:r>
      <w:r w:rsidR="00CB5E1F">
        <w:rPr>
          <w:rFonts w:ascii="Arial" w:eastAsia="Arial" w:hAnsi="Arial" w:cs="Arial"/>
          <w:sz w:val="20"/>
          <w:szCs w:val="20"/>
        </w:rPr>
        <w:t xml:space="preserve"> </w:t>
      </w:r>
      <w:r w:rsidR="009F604F">
        <w:rPr>
          <w:rFonts w:ascii="Arial" w:eastAsia="Arial" w:hAnsi="Arial" w:cs="Arial"/>
          <w:sz w:val="20"/>
          <w:szCs w:val="20"/>
        </w:rPr>
        <w:t>(</w:t>
      </w:r>
      <w:r w:rsidR="00CB5E1F">
        <w:rPr>
          <w:rFonts w:ascii="Arial" w:eastAsia="Arial" w:hAnsi="Arial" w:cs="Arial"/>
          <w:sz w:val="20"/>
          <w:szCs w:val="20"/>
        </w:rPr>
        <w:t xml:space="preserve">see </w:t>
      </w:r>
      <w:r w:rsidR="00CB5E1F" w:rsidRPr="000B39FC">
        <w:rPr>
          <w:rFonts w:ascii="Arial" w:eastAsia="Arial" w:hAnsi="Arial" w:cs="Arial"/>
          <w:b/>
          <w:sz w:val="20"/>
          <w:szCs w:val="20"/>
        </w:rPr>
        <w:t>Figure 3</w:t>
      </w:r>
      <w:r w:rsidR="009F604F" w:rsidRPr="008344DE">
        <w:rPr>
          <w:rFonts w:ascii="Arial" w:eastAsia="Arial" w:hAnsi="Arial" w:cs="Arial"/>
          <w:sz w:val="20"/>
          <w:szCs w:val="20"/>
        </w:rPr>
        <w:t>)</w:t>
      </w:r>
      <w:r w:rsidR="00D76B6A">
        <w:rPr>
          <w:rFonts w:ascii="Arial" w:eastAsia="Arial" w:hAnsi="Arial" w:cs="Arial"/>
          <w:sz w:val="20"/>
          <w:szCs w:val="20"/>
        </w:rPr>
        <w:t xml:space="preserve">. </w:t>
      </w:r>
    </w:p>
    <w:p w14:paraId="70D68929" w14:textId="10369786" w:rsidR="00850A18" w:rsidRDefault="00850A18" w:rsidP="008344DE">
      <w:pPr>
        <w:rPr>
          <w:rFonts w:ascii="Arial" w:eastAsia="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25"/>
        <w:gridCol w:w="5125"/>
      </w:tblGrid>
      <w:tr w:rsidR="009F604F" w14:paraId="4DE12395" w14:textId="77777777" w:rsidTr="008344DE">
        <w:tc>
          <w:tcPr>
            <w:tcW w:w="4225" w:type="dxa"/>
          </w:tcPr>
          <w:p w14:paraId="70450F47" w14:textId="77777777" w:rsidR="009F604F" w:rsidRDefault="009F604F" w:rsidP="009F604F">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947E019" wp14:editId="2EE7E7F2">
                  <wp:extent cx="1232438" cy="1554480"/>
                  <wp:effectExtent l="0" t="0" r="6350" b="7620"/>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t="9917" r="9392"/>
                          <a:stretch>
                            <a:fillRect/>
                          </a:stretch>
                        </pic:blipFill>
                        <pic:spPr>
                          <a:xfrm>
                            <a:off x="0" y="0"/>
                            <a:ext cx="1232438" cy="1554480"/>
                          </a:xfrm>
                          <a:prstGeom prst="rect">
                            <a:avLst/>
                          </a:prstGeom>
                          <a:ln/>
                        </pic:spPr>
                      </pic:pic>
                    </a:graphicData>
                  </a:graphic>
                </wp:inline>
              </w:drawing>
            </w:r>
          </w:p>
          <w:p w14:paraId="1851E6C0" w14:textId="18F268D1" w:rsidR="009F604F" w:rsidRPr="008344DE" w:rsidRDefault="009F604F" w:rsidP="008344DE">
            <w:pPr>
              <w:spacing w:before="120"/>
              <w:jc w:val="center"/>
              <w:rPr>
                <w:rFonts w:ascii="Arial" w:eastAsia="Arial" w:hAnsi="Arial" w:cs="Arial"/>
                <w:b/>
                <w:sz w:val="20"/>
                <w:szCs w:val="20"/>
              </w:rPr>
            </w:pPr>
            <w:r>
              <w:rPr>
                <w:rFonts w:ascii="Arial" w:eastAsia="Arial" w:hAnsi="Arial" w:cs="Arial"/>
                <w:b/>
                <w:sz w:val="20"/>
                <w:szCs w:val="20"/>
              </w:rPr>
              <w:t>Figure 2: Discussing Plagiarism</w:t>
            </w:r>
          </w:p>
        </w:tc>
        <w:tc>
          <w:tcPr>
            <w:tcW w:w="5125" w:type="dxa"/>
          </w:tcPr>
          <w:p w14:paraId="6CDA808A" w14:textId="77777777" w:rsidR="009F604F" w:rsidRDefault="009F604F" w:rsidP="009F604F">
            <w:pPr>
              <w:jc w:val="center"/>
              <w:rPr>
                <w:rFonts w:ascii="Arial" w:eastAsia="Arial" w:hAnsi="Arial" w:cs="Arial"/>
                <w:sz w:val="20"/>
                <w:szCs w:val="20"/>
              </w:rPr>
            </w:pPr>
            <w:r>
              <w:rPr>
                <w:rFonts w:ascii="Arial" w:eastAsia="Arial" w:hAnsi="Arial" w:cs="Arial"/>
                <w:b/>
                <w:noProof/>
                <w:sz w:val="20"/>
                <w:szCs w:val="20"/>
              </w:rPr>
              <w:drawing>
                <wp:inline distT="114300" distB="114300" distL="114300" distR="114300" wp14:anchorId="41A8965B" wp14:editId="53514051">
                  <wp:extent cx="1895259" cy="1554480"/>
                  <wp:effectExtent l="0" t="0" r="0" b="762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95259" cy="1554480"/>
                          </a:xfrm>
                          <a:prstGeom prst="rect">
                            <a:avLst/>
                          </a:prstGeom>
                          <a:ln/>
                        </pic:spPr>
                      </pic:pic>
                    </a:graphicData>
                  </a:graphic>
                </wp:inline>
              </w:drawing>
            </w:r>
          </w:p>
          <w:p w14:paraId="190E1FA8" w14:textId="402272A2" w:rsidR="009F604F" w:rsidRPr="008344DE" w:rsidRDefault="009F604F" w:rsidP="008344DE">
            <w:pPr>
              <w:spacing w:before="120"/>
              <w:jc w:val="center"/>
              <w:rPr>
                <w:rFonts w:ascii="Arial" w:eastAsia="Arial" w:hAnsi="Arial" w:cs="Arial"/>
                <w:b/>
                <w:sz w:val="20"/>
                <w:szCs w:val="20"/>
              </w:rPr>
            </w:pPr>
            <w:r>
              <w:rPr>
                <w:rFonts w:ascii="Arial" w:eastAsia="Arial" w:hAnsi="Arial" w:cs="Arial"/>
                <w:b/>
                <w:sz w:val="20"/>
                <w:szCs w:val="20"/>
              </w:rPr>
              <w:t>Figure 3: Essentials of Human Subject Protection</w:t>
            </w:r>
          </w:p>
        </w:tc>
      </w:tr>
    </w:tbl>
    <w:p w14:paraId="7FBE7643" w14:textId="77777777" w:rsidR="009F604F" w:rsidRDefault="009F604F" w:rsidP="008344DE">
      <w:pPr>
        <w:rPr>
          <w:rFonts w:ascii="Arial" w:eastAsia="Arial" w:hAnsi="Arial" w:cs="Arial"/>
          <w:sz w:val="20"/>
          <w:szCs w:val="20"/>
        </w:rPr>
      </w:pPr>
    </w:p>
    <w:p w14:paraId="0E30C04C" w14:textId="467F06D3" w:rsidR="00850A18" w:rsidRDefault="00D76B6A">
      <w:pPr>
        <w:ind w:firstLine="360"/>
        <w:rPr>
          <w:rFonts w:ascii="Arial" w:eastAsia="Arial" w:hAnsi="Arial" w:cs="Arial"/>
          <w:sz w:val="20"/>
          <w:szCs w:val="20"/>
        </w:rPr>
      </w:pPr>
      <w:r>
        <w:rPr>
          <w:rFonts w:ascii="Arial" w:eastAsia="Arial" w:hAnsi="Arial" w:cs="Arial"/>
          <w:sz w:val="20"/>
          <w:szCs w:val="20"/>
        </w:rPr>
        <w:t xml:space="preserve">During </w:t>
      </w:r>
      <w:r w:rsidR="00CE1D47">
        <w:rPr>
          <w:rFonts w:ascii="Arial" w:eastAsia="Arial" w:hAnsi="Arial" w:cs="Arial"/>
          <w:sz w:val="20"/>
          <w:szCs w:val="20"/>
        </w:rPr>
        <w:t xml:space="preserve">the </w:t>
      </w:r>
      <w:r>
        <w:rPr>
          <w:rFonts w:ascii="Arial" w:eastAsia="Arial" w:hAnsi="Arial" w:cs="Arial"/>
          <w:sz w:val="20"/>
          <w:szCs w:val="20"/>
        </w:rPr>
        <w:t>closing, Dr. Kukreti reiterated the ethics of research. He stated</w:t>
      </w:r>
      <w:r w:rsidR="00F87CF3">
        <w:rPr>
          <w:rFonts w:ascii="Arial" w:eastAsia="Arial" w:hAnsi="Arial" w:cs="Arial"/>
          <w:sz w:val="20"/>
          <w:szCs w:val="20"/>
        </w:rPr>
        <w:t>:</w:t>
      </w:r>
      <w:r>
        <w:rPr>
          <w:rFonts w:ascii="Arial" w:eastAsia="Arial" w:hAnsi="Arial" w:cs="Arial"/>
          <w:sz w:val="20"/>
          <w:szCs w:val="20"/>
        </w:rPr>
        <w:t xml:space="preserve"> “Disclosure is key. As long as people are aware of the data analysis/manipulation, bias, and conflict of interest you are probably OK.” He concluded with </w:t>
      </w:r>
      <w:r w:rsidR="00CE1D47">
        <w:rPr>
          <w:rFonts w:ascii="Arial" w:eastAsia="Arial" w:hAnsi="Arial" w:cs="Arial"/>
          <w:sz w:val="20"/>
          <w:szCs w:val="20"/>
        </w:rPr>
        <w:t>guidance on o</w:t>
      </w:r>
      <w:r>
        <w:rPr>
          <w:rFonts w:ascii="Arial" w:eastAsia="Arial" w:hAnsi="Arial" w:cs="Arial"/>
          <w:sz w:val="20"/>
          <w:szCs w:val="20"/>
        </w:rPr>
        <w:t>btain</w:t>
      </w:r>
      <w:r w:rsidR="00CE1D47">
        <w:rPr>
          <w:rFonts w:ascii="Arial" w:eastAsia="Arial" w:hAnsi="Arial" w:cs="Arial"/>
          <w:sz w:val="20"/>
          <w:szCs w:val="20"/>
        </w:rPr>
        <w:t>ing</w:t>
      </w:r>
      <w:r>
        <w:rPr>
          <w:rFonts w:ascii="Arial" w:eastAsia="Arial" w:hAnsi="Arial" w:cs="Arial"/>
          <w:sz w:val="20"/>
          <w:szCs w:val="20"/>
        </w:rPr>
        <w:t xml:space="preserve"> an IRB approval for human subjects. </w:t>
      </w:r>
    </w:p>
    <w:p w14:paraId="7F4DD895" w14:textId="77777777" w:rsidR="00850A18" w:rsidRDefault="00850A18">
      <w:pPr>
        <w:pBdr>
          <w:top w:val="nil"/>
          <w:left w:val="nil"/>
          <w:bottom w:val="nil"/>
          <w:right w:val="nil"/>
          <w:between w:val="nil"/>
        </w:pBdr>
        <w:ind w:hanging="720"/>
        <w:rPr>
          <w:rFonts w:ascii="Arial" w:eastAsia="Arial" w:hAnsi="Arial" w:cs="Arial"/>
          <w:color w:val="000000"/>
          <w:sz w:val="20"/>
          <w:szCs w:val="20"/>
        </w:rPr>
      </w:pPr>
    </w:p>
    <w:sectPr w:rsidR="00850A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18"/>
    <w:rsid w:val="000B39FC"/>
    <w:rsid w:val="002125EB"/>
    <w:rsid w:val="005B40EB"/>
    <w:rsid w:val="00810D9C"/>
    <w:rsid w:val="008344DE"/>
    <w:rsid w:val="00850A18"/>
    <w:rsid w:val="009F604F"/>
    <w:rsid w:val="00CB5E1F"/>
    <w:rsid w:val="00CE1D47"/>
    <w:rsid w:val="00CE529E"/>
    <w:rsid w:val="00D76B6A"/>
    <w:rsid w:val="00F61063"/>
    <w:rsid w:val="00F8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FDBA"/>
  <w15:docId w15:val="{3CD17D74-5439-4880-A22A-AD26760D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D47"/>
    <w:rPr>
      <w:rFonts w:ascii="Segoe UI" w:hAnsi="Segoe UI" w:cs="Segoe UI"/>
      <w:sz w:val="18"/>
      <w:szCs w:val="18"/>
    </w:rPr>
  </w:style>
  <w:style w:type="character" w:styleId="CommentReference">
    <w:name w:val="annotation reference"/>
    <w:basedOn w:val="DefaultParagraphFont"/>
    <w:uiPriority w:val="99"/>
    <w:semiHidden/>
    <w:unhideWhenUsed/>
    <w:rsid w:val="005B40EB"/>
    <w:rPr>
      <w:sz w:val="16"/>
      <w:szCs w:val="16"/>
    </w:rPr>
  </w:style>
  <w:style w:type="paragraph" w:styleId="CommentText">
    <w:name w:val="annotation text"/>
    <w:basedOn w:val="Normal"/>
    <w:link w:val="CommentTextChar"/>
    <w:uiPriority w:val="99"/>
    <w:semiHidden/>
    <w:unhideWhenUsed/>
    <w:rsid w:val="005B40EB"/>
    <w:rPr>
      <w:sz w:val="20"/>
      <w:szCs w:val="20"/>
    </w:rPr>
  </w:style>
  <w:style w:type="character" w:customStyle="1" w:styleId="CommentTextChar">
    <w:name w:val="Comment Text Char"/>
    <w:basedOn w:val="DefaultParagraphFont"/>
    <w:link w:val="CommentText"/>
    <w:uiPriority w:val="99"/>
    <w:semiHidden/>
    <w:rsid w:val="005B40EB"/>
    <w:rPr>
      <w:sz w:val="20"/>
      <w:szCs w:val="20"/>
    </w:rPr>
  </w:style>
  <w:style w:type="paragraph" w:styleId="CommentSubject">
    <w:name w:val="annotation subject"/>
    <w:basedOn w:val="CommentText"/>
    <w:next w:val="CommentText"/>
    <w:link w:val="CommentSubjectChar"/>
    <w:uiPriority w:val="99"/>
    <w:semiHidden/>
    <w:unhideWhenUsed/>
    <w:rsid w:val="005B40EB"/>
    <w:rPr>
      <w:b/>
      <w:bCs/>
    </w:rPr>
  </w:style>
  <w:style w:type="character" w:customStyle="1" w:styleId="CommentSubjectChar">
    <w:name w:val="Comment Subject Char"/>
    <w:basedOn w:val="CommentTextChar"/>
    <w:link w:val="CommentSubject"/>
    <w:uiPriority w:val="99"/>
    <w:semiHidden/>
    <w:rsid w:val="005B40EB"/>
    <w:rPr>
      <w:b/>
      <w:bCs/>
      <w:sz w:val="20"/>
      <w:szCs w:val="20"/>
    </w:rPr>
  </w:style>
  <w:style w:type="table" w:styleId="TableGrid">
    <w:name w:val="Table Grid"/>
    <w:basedOn w:val="TableNormal"/>
    <w:uiPriority w:val="39"/>
    <w:rsid w:val="009F6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CEEMS</dc:creator>
  <cp:lastModifiedBy>Anant R Kukreti</cp:lastModifiedBy>
  <cp:revision>3</cp:revision>
  <dcterms:created xsi:type="dcterms:W3CDTF">2018-07-02T18:24:00Z</dcterms:created>
  <dcterms:modified xsi:type="dcterms:W3CDTF">2018-07-02T18:35:00Z</dcterms:modified>
</cp:coreProperties>
</file>